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D7990" w14:textId="0C5CA9DC" w:rsidR="00B70D07" w:rsidRDefault="00866C7A">
      <w:bookmarkStart w:id="0" w:name="_Hlk192069376"/>
      <w:r>
        <w:t>The Man Born Blind – John 9</w:t>
      </w:r>
    </w:p>
    <w:p w14:paraId="75EB929D" w14:textId="77777777" w:rsidR="00866C7A" w:rsidRDefault="00866C7A"/>
    <w:p w14:paraId="4F812139" w14:textId="25C1690A" w:rsidR="00866C7A" w:rsidRDefault="00533A02">
      <w:r>
        <w:t>Dear Culture Contrarians,</w:t>
      </w:r>
    </w:p>
    <w:p w14:paraId="563C6184" w14:textId="77777777" w:rsidR="00533A02" w:rsidRDefault="00533A02"/>
    <w:p w14:paraId="0572C581" w14:textId="77777777" w:rsidR="00533A02" w:rsidRDefault="00533A02">
      <w:r>
        <w:t>Theology is an interesting study. It can help us understand some passages of Scripture, but it can also cause us to ignore others, especially ones that do not quite fit our system. But shouldn’t our theology line up with the Scripture, rather than trying to force Scripture to fit our theology?</w:t>
      </w:r>
    </w:p>
    <w:p w14:paraId="369C97B5" w14:textId="77777777" w:rsidR="00533A02" w:rsidRDefault="00533A02"/>
    <w:p w14:paraId="141B94D7" w14:textId="2E401C2B" w:rsidR="00817DE4" w:rsidRDefault="00533A02">
      <w:r>
        <w:t xml:space="preserve">The man born blind in John 9 is the heart of John’s gospel. It contains </w:t>
      </w:r>
      <w:r w:rsidR="00C7575D">
        <w:t>Christ’s</w:t>
      </w:r>
      <w:r>
        <w:t xml:space="preserve"> penultimate miraculous sign and also contains </w:t>
      </w:r>
      <w:r w:rsidR="00C7575D">
        <w:t>H</w:t>
      </w:r>
      <w:r>
        <w:t>is second “I am” statement. On the Sabbath Jesus spit on the ground, made clay, smeared it on the blind man</w:t>
      </w:r>
      <w:r w:rsidR="00C7575D">
        <w:t>’s eyes</w:t>
      </w:r>
      <w:r>
        <w:t xml:space="preserve"> and told him to go wash in the Pool of Siloam. </w:t>
      </w:r>
      <w:r w:rsidR="00817DE4">
        <w:t>When he returned</w:t>
      </w:r>
      <w:r w:rsidR="00C7575D">
        <w:t>—seeing! —</w:t>
      </w:r>
      <w:r w:rsidR="00817DE4">
        <w:t xml:space="preserve">Jesus was gone, but the neighbors took him to the religious leaders for an explanation. By the time the dust settled, his parents declined to assist the Pharisees, and the man born blind </w:t>
      </w:r>
      <w:r w:rsidR="00C7575D">
        <w:t>(</w:t>
      </w:r>
      <w:r w:rsidR="00817DE4">
        <w:t>who now could see</w:t>
      </w:r>
      <w:r w:rsidR="00C7575D">
        <w:t>)</w:t>
      </w:r>
      <w:r w:rsidR="00817DE4">
        <w:t xml:space="preserve"> refused to be intimidated. He had been handicapped all his life and was used to abuse from all kinds of cruel people. Religious leaders </w:t>
      </w:r>
      <w:r w:rsidR="004B7A1C">
        <w:t xml:space="preserve">did not </w:t>
      </w:r>
      <w:r w:rsidR="00817DE4">
        <w:t>intimidat</w:t>
      </w:r>
      <w:r w:rsidR="004B7A1C">
        <w:t>e</w:t>
      </w:r>
      <w:r w:rsidR="00817DE4">
        <w:t xml:space="preserve"> him</w:t>
      </w:r>
      <w:r w:rsidR="004B7A1C">
        <w:t>;</w:t>
      </w:r>
      <w:r w:rsidR="00817DE4">
        <w:t xml:space="preserve"> they forthwith excommunicated him from their religious group. </w:t>
      </w:r>
    </w:p>
    <w:p w14:paraId="37615761" w14:textId="77777777" w:rsidR="00817DE4" w:rsidRDefault="00817DE4"/>
    <w:p w14:paraId="790D1F97" w14:textId="33C26555" w:rsidR="00533A02" w:rsidRDefault="00817DE4">
      <w:r>
        <w:t xml:space="preserve">Jesus heard about what the Pharisees did to him and </w:t>
      </w:r>
      <w:r w:rsidR="00C7575D">
        <w:t>tracked him down</w:t>
      </w:r>
      <w:r>
        <w:t>. Throughout the Gospel of John those who believe in Jesus are promised everlasting life</w:t>
      </w:r>
      <w:r w:rsidR="00B66CAB">
        <w:t xml:space="preserve">—sometimes the Apostle John teaches this (John 3:16), and sometimes He quotes Jesus as promising everlasting life to anyone who believes in Him (John 6:47). The question He asks the man </w:t>
      </w:r>
      <w:r w:rsidR="00C7575D">
        <w:t>H</w:t>
      </w:r>
      <w:r w:rsidR="00B66CAB">
        <w:t xml:space="preserve">e healed is quick and to the point, “Do you believe in the Son of God?” After determining that Jesus is the Son of God, the blind man declares, “Lord, I believe!” </w:t>
      </w:r>
      <w:r w:rsidR="00B106E1">
        <w:t>a</w:t>
      </w:r>
      <w:r w:rsidR="00B66CAB">
        <w:t xml:space="preserve">nd he worshiped Him (John 9:38). I like to imagine him </w:t>
      </w:r>
      <w:r w:rsidR="00961D7E">
        <w:t>gazing</w:t>
      </w:r>
      <w:r w:rsidR="00B66CAB">
        <w:t xml:space="preserve"> straight into the eyes of the Son of God as he makes his declaration and then </w:t>
      </w:r>
      <w:r w:rsidR="00C7575D">
        <w:t>kneel</w:t>
      </w:r>
      <w:r w:rsidR="00B106E1">
        <w:t>ing</w:t>
      </w:r>
      <w:r w:rsidR="00C7575D">
        <w:t xml:space="preserve"> at His </w:t>
      </w:r>
      <w:r w:rsidR="00B66CAB">
        <w:t xml:space="preserve">feet in worship of </w:t>
      </w:r>
      <w:r w:rsidR="00961D7E">
        <w:t xml:space="preserve">his newly found creator. It made an indelible impression on the Apostle John, who is the only Gospel writer to record this miracle, </w:t>
      </w:r>
      <w:r w:rsidR="00C7575D">
        <w:t>which</w:t>
      </w:r>
      <w:r w:rsidR="00961D7E">
        <w:t xml:space="preserve"> fits perfectly with the theme of his Gospel: Believe in Jesus and receive everlasting life.</w:t>
      </w:r>
    </w:p>
    <w:p w14:paraId="4FD0E45D" w14:textId="77777777" w:rsidR="00C7575D" w:rsidRDefault="00C7575D"/>
    <w:p w14:paraId="6BC243AB" w14:textId="28E9DAA5" w:rsidR="00C7575D" w:rsidRDefault="00C7575D">
      <w:r>
        <w:t xml:space="preserve">It </w:t>
      </w:r>
      <w:r w:rsidR="000E204F">
        <w:t xml:space="preserve">is </w:t>
      </w:r>
      <w:r>
        <w:t xml:space="preserve">important to note the questions Jesus did </w:t>
      </w:r>
      <w:r w:rsidRPr="007D60AF">
        <w:rPr>
          <w:b/>
          <w:bCs/>
        </w:rPr>
        <w:t>not</w:t>
      </w:r>
      <w:r>
        <w:t xml:space="preserve"> ask: </w:t>
      </w:r>
      <w:r w:rsidR="00550B3B">
        <w:t xml:space="preserve">Do you surrender your life? Do you give your heart to Me? Will you help Me build the kingdom? Do you depend, rely, put your confidence in, or trust Me? </w:t>
      </w:r>
      <w:r w:rsidR="00ED06C0">
        <w:t xml:space="preserve">(Reliance or trust in the Lord are privileges for believers; both Hebrew and Greek have two different words that maintain the </w:t>
      </w:r>
      <w:r w:rsidR="007305FF">
        <w:t>distinct</w:t>
      </w:r>
      <w:r w:rsidR="00ED06C0">
        <w:t xml:space="preserve"> nuances between “faith” and “relance.”) </w:t>
      </w:r>
      <w:r w:rsidR="000E204F">
        <w:t xml:space="preserve">It is also important to notice John’s consistent use of the prepositional phrase, “believe in Me,” or here “in the Son of God.” A noun clause would be as follows: </w:t>
      </w:r>
      <w:r w:rsidR="000E204F">
        <w:t xml:space="preserve">Do you believe </w:t>
      </w:r>
      <w:r w:rsidR="000E204F" w:rsidRPr="000E204F">
        <w:rPr>
          <w:b/>
          <w:bCs/>
        </w:rPr>
        <w:t>that</w:t>
      </w:r>
      <w:r w:rsidR="000E204F">
        <w:t xml:space="preserve"> (fill in the blank here: “I am the Son of God,” “I give everlasting life,” “I will die for your sins and rise again,” I am the God/Man, Creator, Judge, etc.”).</w:t>
      </w:r>
      <w:r w:rsidR="0049596D">
        <w:t xml:space="preserve"> The prepositional phrase</w:t>
      </w:r>
      <w:r w:rsidR="004B7A1C">
        <w:t>, in contrast to a noun clause,</w:t>
      </w:r>
      <w:r w:rsidR="0049596D">
        <w:t xml:space="preserve"> leaves open the increasing growth and knowledge of the initial exchange between God and man. </w:t>
      </w:r>
    </w:p>
    <w:p w14:paraId="62646B26" w14:textId="77777777" w:rsidR="005E0C49" w:rsidRDefault="005E0C49"/>
    <w:p w14:paraId="72E3D325" w14:textId="75DBD3BC" w:rsidR="003B48F6" w:rsidRDefault="005E0C49">
      <w:r>
        <w:t>As we are believing in the Son of God and worshiping Him</w:t>
      </w:r>
      <w:r w:rsidR="008574EE">
        <w:t xml:space="preserve">, </w:t>
      </w:r>
      <w:r>
        <w:t>we</w:t>
      </w:r>
      <w:r w:rsidR="0049596D">
        <w:t>—</w:t>
      </w:r>
      <w:r>
        <w:t>like the discipl</w:t>
      </w:r>
      <w:r w:rsidR="008574EE">
        <w:t>es</w:t>
      </w:r>
      <w:r w:rsidR="0049596D">
        <w:t>—</w:t>
      </w:r>
      <w:r>
        <w:t xml:space="preserve">will continue to marvel at who </w:t>
      </w:r>
      <w:r w:rsidR="00B106E1">
        <w:t>H</w:t>
      </w:r>
      <w:r>
        <w:t>e is and what He can do. He turned a lot of water into wine</w:t>
      </w:r>
      <w:r w:rsidR="007D60AF">
        <w:t>—</w:t>
      </w:r>
      <w:r>
        <w:t>and His disciples believed in Him (John 2:11). He fed the 5,000 with a few meager rations</w:t>
      </w:r>
      <w:r w:rsidR="0049596D">
        <w:t>,</w:t>
      </w:r>
      <w:r>
        <w:t xml:space="preserve"> and His disciples collecte</w:t>
      </w:r>
      <w:r w:rsidR="008574EE">
        <w:t xml:space="preserve">d 12 baskets of leftovers; He walked to them on the waves of a storm, and then made them time travel to </w:t>
      </w:r>
      <w:r w:rsidR="0049596D">
        <w:t xml:space="preserve">the </w:t>
      </w:r>
      <w:r w:rsidR="008574EE">
        <w:t xml:space="preserve">western shore. And of course, there is the man born blind and Lazarus, whom He raised from the dead. Are we not always marveling at what the </w:t>
      </w:r>
      <w:r w:rsidR="0049596D">
        <w:t>unmatched</w:t>
      </w:r>
      <w:r w:rsidR="003B48F6">
        <w:t xml:space="preserve"> resurrected </w:t>
      </w:r>
      <w:r w:rsidR="008574EE">
        <w:t>Son of God</w:t>
      </w:r>
      <w:r w:rsidR="003B48F6">
        <w:t xml:space="preserve"> </w:t>
      </w:r>
      <w:r w:rsidR="008574EE">
        <w:t xml:space="preserve">can do? </w:t>
      </w:r>
    </w:p>
    <w:p w14:paraId="0556FF43" w14:textId="77777777" w:rsidR="003B48F6" w:rsidRDefault="003B48F6"/>
    <w:p w14:paraId="0AB7142E" w14:textId="12D8A141" w:rsidR="004537FB" w:rsidRDefault="0049596D">
      <w:r>
        <w:t xml:space="preserve">Does anyone seriously doubt that the man born blind received everlasting life at the time of his believing in the Son of God? </w:t>
      </w:r>
      <w:r w:rsidR="003B48F6">
        <w:t>It seems to me that theological and propositional statements about what a person must know and believe</w:t>
      </w:r>
      <w:r>
        <w:t xml:space="preserve"> for justification before God</w:t>
      </w:r>
      <w:r w:rsidR="003B48F6">
        <w:t xml:space="preserve"> may obscure the point of Scripture, namely that we are justified by believing in the Son of God. Do you believe in the Son of God?</w:t>
      </w:r>
    </w:p>
    <w:bookmarkEnd w:id="0"/>
    <w:p w14:paraId="77E7BCC2" w14:textId="77777777" w:rsidR="003B48F6" w:rsidRDefault="003B48F6"/>
    <w:p w14:paraId="32E078BD" w14:textId="77777777" w:rsidR="003B48F6" w:rsidRDefault="003B48F6"/>
    <w:sectPr w:rsidR="003B48F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29FC0" w14:textId="77777777" w:rsidR="00EF473A" w:rsidRDefault="00EF473A" w:rsidP="00CA3472">
      <w:r>
        <w:separator/>
      </w:r>
    </w:p>
  </w:endnote>
  <w:endnote w:type="continuationSeparator" w:id="0">
    <w:p w14:paraId="2385204D" w14:textId="77777777" w:rsidR="00EF473A" w:rsidRDefault="00EF473A" w:rsidP="00CA3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48A8F" w14:textId="77777777" w:rsidR="00EF473A" w:rsidRDefault="00EF473A" w:rsidP="00CA3472">
      <w:r>
        <w:separator/>
      </w:r>
    </w:p>
  </w:footnote>
  <w:footnote w:type="continuationSeparator" w:id="0">
    <w:p w14:paraId="45930E6B" w14:textId="77777777" w:rsidR="00EF473A" w:rsidRDefault="00EF473A" w:rsidP="00CA3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6678591"/>
      <w:docPartObj>
        <w:docPartGallery w:val="Page Numbers (Top of Page)"/>
        <w:docPartUnique/>
      </w:docPartObj>
    </w:sdtPr>
    <w:sdtEndPr>
      <w:rPr>
        <w:noProof/>
      </w:rPr>
    </w:sdtEndPr>
    <w:sdtContent>
      <w:p w14:paraId="6544DCC2" w14:textId="77777777" w:rsidR="00CA3472" w:rsidRDefault="00CA347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D5FE62" w14:textId="77777777" w:rsidR="00CA3472" w:rsidRDefault="00CA34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C7A"/>
    <w:rsid w:val="000E204F"/>
    <w:rsid w:val="001F7827"/>
    <w:rsid w:val="002142A6"/>
    <w:rsid w:val="00384BEF"/>
    <w:rsid w:val="003B48F6"/>
    <w:rsid w:val="00402DFA"/>
    <w:rsid w:val="004537FB"/>
    <w:rsid w:val="0049596D"/>
    <w:rsid w:val="004B7A1C"/>
    <w:rsid w:val="00533A02"/>
    <w:rsid w:val="00550B3B"/>
    <w:rsid w:val="0056167B"/>
    <w:rsid w:val="005E0C49"/>
    <w:rsid w:val="00623BEC"/>
    <w:rsid w:val="006935A7"/>
    <w:rsid w:val="006E1488"/>
    <w:rsid w:val="0070315E"/>
    <w:rsid w:val="007112E9"/>
    <w:rsid w:val="007305FF"/>
    <w:rsid w:val="007738E8"/>
    <w:rsid w:val="007D60AF"/>
    <w:rsid w:val="00817DE4"/>
    <w:rsid w:val="008574EE"/>
    <w:rsid w:val="00866C7A"/>
    <w:rsid w:val="00954130"/>
    <w:rsid w:val="00961D7E"/>
    <w:rsid w:val="009B3547"/>
    <w:rsid w:val="00A5026A"/>
    <w:rsid w:val="00AE69E6"/>
    <w:rsid w:val="00B106E1"/>
    <w:rsid w:val="00B66CAB"/>
    <w:rsid w:val="00B70D07"/>
    <w:rsid w:val="00C7575D"/>
    <w:rsid w:val="00CA3472"/>
    <w:rsid w:val="00D856A5"/>
    <w:rsid w:val="00D93789"/>
    <w:rsid w:val="00DA690F"/>
    <w:rsid w:val="00E238F8"/>
    <w:rsid w:val="00EC654A"/>
    <w:rsid w:val="00ED06C0"/>
    <w:rsid w:val="00EE20D1"/>
    <w:rsid w:val="00EE7BB1"/>
    <w:rsid w:val="00EF4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DDF46"/>
  <w15:chartTrackingRefBased/>
  <w15:docId w15:val="{A74B7398-8474-49B3-A99E-4250DF00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9E6"/>
  </w:style>
  <w:style w:type="paragraph" w:styleId="Heading1">
    <w:name w:val="heading 1"/>
    <w:basedOn w:val="Normal"/>
    <w:next w:val="Normal"/>
    <w:link w:val="Heading1Char"/>
    <w:uiPriority w:val="9"/>
    <w:qFormat/>
    <w:rsid w:val="00866C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66C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66C7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66C7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66C7A"/>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66C7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66C7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66C7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66C7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9E6"/>
    <w:pPr>
      <w:tabs>
        <w:tab w:val="center" w:pos="4680"/>
        <w:tab w:val="right" w:pos="9360"/>
      </w:tabs>
    </w:pPr>
  </w:style>
  <w:style w:type="character" w:customStyle="1" w:styleId="HeaderChar">
    <w:name w:val="Header Char"/>
    <w:basedOn w:val="DefaultParagraphFont"/>
    <w:link w:val="Header"/>
    <w:uiPriority w:val="99"/>
    <w:rsid w:val="00AE69E6"/>
  </w:style>
  <w:style w:type="paragraph" w:styleId="Footer">
    <w:name w:val="footer"/>
    <w:basedOn w:val="Normal"/>
    <w:link w:val="FooterChar"/>
    <w:uiPriority w:val="99"/>
    <w:unhideWhenUsed/>
    <w:rsid w:val="00AE69E6"/>
    <w:pPr>
      <w:tabs>
        <w:tab w:val="center" w:pos="4680"/>
        <w:tab w:val="right" w:pos="9360"/>
      </w:tabs>
    </w:pPr>
  </w:style>
  <w:style w:type="character" w:customStyle="1" w:styleId="FooterChar">
    <w:name w:val="Footer Char"/>
    <w:basedOn w:val="DefaultParagraphFont"/>
    <w:link w:val="Footer"/>
    <w:uiPriority w:val="99"/>
    <w:rsid w:val="00AE69E6"/>
  </w:style>
  <w:style w:type="character" w:customStyle="1" w:styleId="Heading1Char">
    <w:name w:val="Heading 1 Char"/>
    <w:basedOn w:val="DefaultParagraphFont"/>
    <w:link w:val="Heading1"/>
    <w:uiPriority w:val="9"/>
    <w:rsid w:val="00866C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66C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66C7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66C7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66C7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66C7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66C7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66C7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66C7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66C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C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C7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C7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66C7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66C7A"/>
    <w:rPr>
      <w:i/>
      <w:iCs/>
      <w:color w:val="404040" w:themeColor="text1" w:themeTint="BF"/>
    </w:rPr>
  </w:style>
  <w:style w:type="paragraph" w:styleId="ListParagraph">
    <w:name w:val="List Paragraph"/>
    <w:basedOn w:val="Normal"/>
    <w:uiPriority w:val="34"/>
    <w:qFormat/>
    <w:rsid w:val="00866C7A"/>
    <w:pPr>
      <w:ind w:left="720"/>
      <w:contextualSpacing/>
    </w:pPr>
  </w:style>
  <w:style w:type="character" w:styleId="IntenseEmphasis">
    <w:name w:val="Intense Emphasis"/>
    <w:basedOn w:val="DefaultParagraphFont"/>
    <w:uiPriority w:val="21"/>
    <w:qFormat/>
    <w:rsid w:val="00866C7A"/>
    <w:rPr>
      <w:i/>
      <w:iCs/>
      <w:color w:val="2F5496" w:themeColor="accent1" w:themeShade="BF"/>
    </w:rPr>
  </w:style>
  <w:style w:type="paragraph" w:styleId="IntenseQuote">
    <w:name w:val="Intense Quote"/>
    <w:basedOn w:val="Normal"/>
    <w:next w:val="Normal"/>
    <w:link w:val="IntenseQuoteChar"/>
    <w:uiPriority w:val="30"/>
    <w:qFormat/>
    <w:rsid w:val="00866C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66C7A"/>
    <w:rPr>
      <w:i/>
      <w:iCs/>
      <w:color w:val="2F5496" w:themeColor="accent1" w:themeShade="BF"/>
    </w:rPr>
  </w:style>
  <w:style w:type="character" w:styleId="IntenseReference">
    <w:name w:val="Intense Reference"/>
    <w:basedOn w:val="DefaultParagraphFont"/>
    <w:uiPriority w:val="32"/>
    <w:qFormat/>
    <w:rsid w:val="00866C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2</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Marvin J. Effa</dc:creator>
  <cp:keywords/>
  <dc:description/>
  <cp:lastModifiedBy>Dr. Marvin J. Effa</cp:lastModifiedBy>
  <cp:revision>3</cp:revision>
  <cp:lastPrinted>2025-03-05T16:42:00Z</cp:lastPrinted>
  <dcterms:created xsi:type="dcterms:W3CDTF">2025-03-01T17:45:00Z</dcterms:created>
  <dcterms:modified xsi:type="dcterms:W3CDTF">2025-03-05T18:52:00Z</dcterms:modified>
</cp:coreProperties>
</file>